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6701" w14:textId="5A5226C7" w:rsidR="00F21FA0" w:rsidRPr="00646B70" w:rsidRDefault="00F21FA0" w:rsidP="00EC6D2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 w:rsidRPr="00646B70">
        <w:rPr>
          <w:rFonts w:hint="eastAsia"/>
          <w:color w:val="000000"/>
          <w:kern w:val="0"/>
          <w:sz w:val="24"/>
          <w:szCs w:val="24"/>
        </w:rPr>
        <w:t>证券代码：</w:t>
      </w:r>
      <w:r w:rsidRPr="00646B70">
        <w:rPr>
          <w:color w:val="000000"/>
          <w:kern w:val="0"/>
          <w:sz w:val="24"/>
          <w:szCs w:val="24"/>
        </w:rPr>
        <w:t xml:space="preserve">603259     </w:t>
      </w:r>
      <w:r w:rsidRPr="00646B70">
        <w:rPr>
          <w:rFonts w:hint="eastAsia"/>
          <w:color w:val="000000"/>
          <w:kern w:val="0"/>
          <w:sz w:val="24"/>
          <w:szCs w:val="24"/>
        </w:rPr>
        <w:t xml:space="preserve"> </w:t>
      </w:r>
      <w:r w:rsidR="00DC6F38" w:rsidRPr="00646B70">
        <w:rPr>
          <w:color w:val="000000"/>
          <w:kern w:val="0"/>
          <w:sz w:val="24"/>
          <w:szCs w:val="24"/>
        </w:rPr>
        <w:t xml:space="preserve">        </w:t>
      </w:r>
      <w:r w:rsidR="00FA0834" w:rsidRPr="00646B70">
        <w:rPr>
          <w:color w:val="000000"/>
          <w:kern w:val="0"/>
          <w:sz w:val="24"/>
          <w:szCs w:val="24"/>
        </w:rPr>
        <w:t xml:space="preserve"> </w:t>
      </w:r>
      <w:r w:rsidRPr="00646B70">
        <w:rPr>
          <w:rFonts w:hint="eastAsia"/>
          <w:color w:val="000000"/>
          <w:kern w:val="0"/>
          <w:sz w:val="24"/>
          <w:szCs w:val="24"/>
        </w:rPr>
        <w:t>证券简称：</w:t>
      </w:r>
      <w:proofErr w:type="gramStart"/>
      <w:r w:rsidRPr="00646B70">
        <w:rPr>
          <w:rFonts w:hint="eastAsia"/>
          <w:color w:val="000000"/>
          <w:kern w:val="0"/>
          <w:sz w:val="24"/>
          <w:szCs w:val="24"/>
        </w:rPr>
        <w:t>药明康德</w:t>
      </w:r>
      <w:proofErr w:type="gramEnd"/>
      <w:r w:rsidRPr="00646B70">
        <w:rPr>
          <w:color w:val="000000"/>
          <w:kern w:val="0"/>
          <w:sz w:val="24"/>
          <w:szCs w:val="24"/>
        </w:rPr>
        <w:t xml:space="preserve">       </w:t>
      </w:r>
      <w:r w:rsidR="00DC6F38" w:rsidRPr="00646B70">
        <w:rPr>
          <w:color w:val="000000"/>
          <w:kern w:val="0"/>
          <w:sz w:val="24"/>
          <w:szCs w:val="24"/>
        </w:rPr>
        <w:t xml:space="preserve">       </w:t>
      </w:r>
      <w:r w:rsidRPr="00646B70">
        <w:rPr>
          <w:rFonts w:hint="eastAsia"/>
          <w:color w:val="000000"/>
          <w:kern w:val="0"/>
          <w:sz w:val="24"/>
          <w:szCs w:val="24"/>
        </w:rPr>
        <w:t>公告编号：临</w:t>
      </w:r>
      <w:r w:rsidRPr="00646B70">
        <w:rPr>
          <w:color w:val="000000"/>
          <w:kern w:val="0"/>
          <w:sz w:val="24"/>
          <w:szCs w:val="24"/>
        </w:rPr>
        <w:t xml:space="preserve"> </w:t>
      </w:r>
      <w:r w:rsidR="007775AA" w:rsidRPr="00646B70">
        <w:rPr>
          <w:color w:val="000000"/>
          <w:sz w:val="24"/>
          <w:szCs w:val="24"/>
        </w:rPr>
        <w:t>202</w:t>
      </w:r>
      <w:r w:rsidR="00DC6F38" w:rsidRPr="00646B70">
        <w:rPr>
          <w:color w:val="000000"/>
          <w:sz w:val="24"/>
          <w:szCs w:val="24"/>
        </w:rPr>
        <w:t>4</w:t>
      </w:r>
      <w:r w:rsidRPr="00646B70">
        <w:rPr>
          <w:color w:val="000000"/>
          <w:sz w:val="24"/>
          <w:szCs w:val="24"/>
        </w:rPr>
        <w:t>-</w:t>
      </w:r>
      <w:r w:rsidR="008F5284" w:rsidRPr="00646B70">
        <w:rPr>
          <w:color w:val="000000"/>
          <w:sz w:val="24"/>
          <w:szCs w:val="24"/>
        </w:rPr>
        <w:t>013</w:t>
      </w:r>
    </w:p>
    <w:p w14:paraId="40E93E52" w14:textId="77777777" w:rsidR="00F21FA0" w:rsidRPr="00646B70" w:rsidRDefault="00F21FA0" w:rsidP="009E522F">
      <w:pPr>
        <w:widowControl/>
        <w:jc w:val="center"/>
        <w:rPr>
          <w:rFonts w:ascii="宋体" w:hAnsi="宋体" w:cs="宋体"/>
          <w:b/>
          <w:color w:val="FF0000"/>
          <w:kern w:val="0"/>
          <w:sz w:val="28"/>
          <w:szCs w:val="24"/>
        </w:rPr>
      </w:pPr>
      <w:proofErr w:type="gramStart"/>
      <w:r w:rsidRPr="00646B70">
        <w:rPr>
          <w:rFonts w:ascii="宋体" w:hAnsi="宋体" w:cs="宋体" w:hint="eastAsia"/>
          <w:b/>
          <w:color w:val="FF0000"/>
          <w:kern w:val="0"/>
          <w:sz w:val="28"/>
          <w:szCs w:val="24"/>
        </w:rPr>
        <w:t>无锡药明康德</w:t>
      </w:r>
      <w:proofErr w:type="gramEnd"/>
      <w:r w:rsidRPr="00646B70">
        <w:rPr>
          <w:rFonts w:ascii="宋体" w:hAnsi="宋体" w:cs="宋体" w:hint="eastAsia"/>
          <w:b/>
          <w:color w:val="FF0000"/>
          <w:kern w:val="0"/>
          <w:sz w:val="28"/>
          <w:szCs w:val="24"/>
        </w:rPr>
        <w:t>新药开发股份有限公司</w:t>
      </w:r>
    </w:p>
    <w:p w14:paraId="4F08A907" w14:textId="455F7AB6" w:rsidR="00F21FA0" w:rsidRPr="00646B70" w:rsidRDefault="00211A06" w:rsidP="009E522F">
      <w:pPr>
        <w:widowControl/>
        <w:jc w:val="center"/>
        <w:rPr>
          <w:rFonts w:ascii="宋体" w:hAnsi="宋体" w:cs="宋体"/>
          <w:b/>
          <w:color w:val="FF0000"/>
          <w:sz w:val="28"/>
          <w:szCs w:val="24"/>
        </w:rPr>
      </w:pPr>
      <w:r w:rsidRPr="00646B70">
        <w:rPr>
          <w:rFonts w:ascii="宋体" w:hAnsi="宋体" w:cs="宋体" w:hint="eastAsia"/>
          <w:b/>
          <w:color w:val="FF0000"/>
          <w:kern w:val="0"/>
          <w:sz w:val="28"/>
          <w:szCs w:val="24"/>
        </w:rPr>
        <w:t>关于澄清事项的</w:t>
      </w:r>
      <w:r w:rsidR="00FA0834" w:rsidRPr="00646B70">
        <w:rPr>
          <w:rFonts w:ascii="宋体" w:hAnsi="宋体" w:cs="宋体" w:hint="eastAsia"/>
          <w:b/>
          <w:color w:val="FF0000"/>
          <w:kern w:val="0"/>
          <w:sz w:val="28"/>
          <w:szCs w:val="24"/>
        </w:rPr>
        <w:t>进一步</w:t>
      </w:r>
      <w:r w:rsidR="00F21FA0" w:rsidRPr="00646B70">
        <w:rPr>
          <w:rFonts w:ascii="宋体" w:hAnsi="宋体" w:cs="宋体" w:hint="eastAsia"/>
          <w:b/>
          <w:color w:val="FF0000"/>
          <w:kern w:val="0"/>
          <w:sz w:val="28"/>
          <w:szCs w:val="24"/>
        </w:rPr>
        <w:t>公告</w:t>
      </w:r>
    </w:p>
    <w:p w14:paraId="1A495833" w14:textId="7146D7F0" w:rsidR="00F21FA0" w:rsidRPr="00646B70" w:rsidRDefault="00F21FA0" w:rsidP="00F21F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Lines="50" w:before="156" w:afterLines="50" w:after="156"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 w:rsidRPr="00646B7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本公司董事会及全体董事保证本公告内容不存在任何虚假记载、误导性陈述或者重大遗漏，并对其内容的真实性、准确性和完整性</w:t>
      </w:r>
      <w:r w:rsidR="00753E3C" w:rsidRPr="00646B70">
        <w:rPr>
          <w:rFonts w:ascii="宋体" w:hAnsi="宋体" w:cs="宋体" w:hint="eastAsia"/>
          <w:color w:val="000000"/>
          <w:kern w:val="0"/>
          <w:sz w:val="24"/>
          <w:szCs w:val="24"/>
        </w:rPr>
        <w:t>依法</w:t>
      </w:r>
      <w:r w:rsidRPr="00646B70">
        <w:rPr>
          <w:rFonts w:ascii="宋体" w:hAnsi="宋体" w:cs="宋体" w:hint="eastAsia"/>
          <w:color w:val="000000"/>
          <w:kern w:val="0"/>
          <w:sz w:val="24"/>
          <w:szCs w:val="24"/>
        </w:rPr>
        <w:t>承担</w:t>
      </w:r>
      <w:r w:rsidR="007775AA" w:rsidRPr="00646B70">
        <w:rPr>
          <w:rFonts w:ascii="宋体" w:hAnsi="宋体" w:cs="宋体" w:hint="eastAsia"/>
          <w:color w:val="000000"/>
          <w:kern w:val="0"/>
          <w:sz w:val="24"/>
          <w:szCs w:val="24"/>
        </w:rPr>
        <w:t>法律</w:t>
      </w:r>
      <w:r w:rsidRPr="00646B70">
        <w:rPr>
          <w:rFonts w:ascii="宋体" w:hAnsi="宋体" w:cs="宋体" w:hint="eastAsia"/>
          <w:color w:val="000000"/>
          <w:kern w:val="0"/>
          <w:sz w:val="24"/>
          <w:szCs w:val="24"/>
        </w:rPr>
        <w:t>责任。</w:t>
      </w:r>
    </w:p>
    <w:p w14:paraId="416318F4" w14:textId="2A4D255D" w:rsidR="00211A06" w:rsidRPr="00646B70" w:rsidRDefault="00FF63A0" w:rsidP="004E4EE1">
      <w:pPr>
        <w:spacing w:beforeLines="50" w:before="156" w:afterLines="50" w:after="156" w:line="360" w:lineRule="auto"/>
        <w:ind w:firstLineChars="200" w:firstLine="480"/>
        <w:rPr>
          <w:sz w:val="24"/>
          <w:szCs w:val="24"/>
        </w:rPr>
      </w:pPr>
      <w:proofErr w:type="gramStart"/>
      <w:r w:rsidRPr="00646B70">
        <w:rPr>
          <w:rFonts w:hint="eastAsia"/>
          <w:sz w:val="24"/>
          <w:szCs w:val="24"/>
        </w:rPr>
        <w:t>无锡药明康德</w:t>
      </w:r>
      <w:proofErr w:type="gramEnd"/>
      <w:r w:rsidRPr="00646B70">
        <w:rPr>
          <w:rFonts w:hint="eastAsia"/>
          <w:sz w:val="24"/>
          <w:szCs w:val="24"/>
        </w:rPr>
        <w:t>新药开发股份有限公司（以下简称“药明康德”</w:t>
      </w:r>
      <w:r w:rsidR="00211A06" w:rsidRPr="00646B70">
        <w:rPr>
          <w:rFonts w:hint="eastAsia"/>
          <w:sz w:val="24"/>
          <w:szCs w:val="24"/>
        </w:rPr>
        <w:t>或“</w:t>
      </w:r>
      <w:r w:rsidR="008F5284" w:rsidRPr="00646B70">
        <w:rPr>
          <w:rFonts w:hint="eastAsia"/>
          <w:sz w:val="24"/>
          <w:szCs w:val="24"/>
        </w:rPr>
        <w:t>本</w:t>
      </w:r>
      <w:r w:rsidR="00211A06" w:rsidRPr="00646B70">
        <w:rPr>
          <w:rFonts w:hint="eastAsia"/>
          <w:sz w:val="24"/>
          <w:szCs w:val="24"/>
        </w:rPr>
        <w:t>公司</w:t>
      </w:r>
      <w:r w:rsidR="00C96976" w:rsidRPr="00646B70">
        <w:rPr>
          <w:rFonts w:hint="eastAsia"/>
          <w:sz w:val="24"/>
          <w:szCs w:val="24"/>
        </w:rPr>
        <w:t>”</w:t>
      </w:r>
      <w:r w:rsidRPr="00646B70">
        <w:rPr>
          <w:rFonts w:hint="eastAsia"/>
          <w:sz w:val="24"/>
          <w:szCs w:val="24"/>
        </w:rPr>
        <w:t>）</w:t>
      </w:r>
      <w:r w:rsidR="00211A06" w:rsidRPr="00646B70">
        <w:rPr>
          <w:rFonts w:hint="eastAsia"/>
          <w:sz w:val="24"/>
          <w:szCs w:val="24"/>
        </w:rPr>
        <w:t>于</w:t>
      </w:r>
      <w:r w:rsidR="00211A06" w:rsidRPr="00646B70">
        <w:rPr>
          <w:rFonts w:hint="eastAsia"/>
          <w:sz w:val="24"/>
          <w:szCs w:val="24"/>
        </w:rPr>
        <w:t>2</w:t>
      </w:r>
      <w:r w:rsidR="00211A06" w:rsidRPr="00646B70">
        <w:rPr>
          <w:sz w:val="24"/>
          <w:szCs w:val="24"/>
        </w:rPr>
        <w:t>024</w:t>
      </w:r>
      <w:r w:rsidR="00211A06" w:rsidRPr="00646B70">
        <w:rPr>
          <w:rFonts w:hint="eastAsia"/>
          <w:sz w:val="24"/>
          <w:szCs w:val="24"/>
        </w:rPr>
        <w:t>年</w:t>
      </w:r>
      <w:r w:rsidR="00211A06" w:rsidRPr="00646B70">
        <w:rPr>
          <w:rFonts w:hint="eastAsia"/>
          <w:sz w:val="24"/>
          <w:szCs w:val="24"/>
        </w:rPr>
        <w:t>1</w:t>
      </w:r>
      <w:r w:rsidR="00211A06" w:rsidRPr="00646B70">
        <w:rPr>
          <w:rFonts w:hint="eastAsia"/>
          <w:sz w:val="24"/>
          <w:szCs w:val="24"/>
        </w:rPr>
        <w:t>月</w:t>
      </w:r>
      <w:r w:rsidR="00211A06" w:rsidRPr="00646B70">
        <w:rPr>
          <w:rFonts w:hint="eastAsia"/>
          <w:sz w:val="24"/>
          <w:szCs w:val="24"/>
        </w:rPr>
        <w:t>2</w:t>
      </w:r>
      <w:r w:rsidR="00211A06" w:rsidRPr="00646B70">
        <w:rPr>
          <w:sz w:val="24"/>
          <w:szCs w:val="24"/>
        </w:rPr>
        <w:t>7</w:t>
      </w:r>
      <w:r w:rsidR="00211A06" w:rsidRPr="00646B70">
        <w:rPr>
          <w:rFonts w:hint="eastAsia"/>
          <w:sz w:val="24"/>
          <w:szCs w:val="24"/>
        </w:rPr>
        <w:t>日发布了《澄清公告》（公告编号：临</w:t>
      </w:r>
      <w:r w:rsidR="00211A06" w:rsidRPr="00646B70">
        <w:rPr>
          <w:rFonts w:hint="eastAsia"/>
          <w:sz w:val="24"/>
          <w:szCs w:val="24"/>
        </w:rPr>
        <w:t>2</w:t>
      </w:r>
      <w:r w:rsidR="00211A06" w:rsidRPr="00646B70">
        <w:rPr>
          <w:sz w:val="24"/>
          <w:szCs w:val="24"/>
        </w:rPr>
        <w:t>024</w:t>
      </w:r>
      <w:r w:rsidR="00211A06" w:rsidRPr="00646B70">
        <w:rPr>
          <w:rFonts w:hint="eastAsia"/>
          <w:sz w:val="24"/>
          <w:szCs w:val="24"/>
        </w:rPr>
        <w:t>-</w:t>
      </w:r>
      <w:r w:rsidR="00211A06" w:rsidRPr="00646B70">
        <w:rPr>
          <w:sz w:val="24"/>
          <w:szCs w:val="24"/>
        </w:rPr>
        <w:t>005</w:t>
      </w:r>
      <w:r w:rsidR="00211A06" w:rsidRPr="00646B70">
        <w:rPr>
          <w:rFonts w:hint="eastAsia"/>
          <w:sz w:val="24"/>
          <w:szCs w:val="24"/>
        </w:rPr>
        <w:t>），并</w:t>
      </w:r>
      <w:r w:rsidR="003E017C" w:rsidRPr="00646B70">
        <w:rPr>
          <w:rFonts w:hint="eastAsia"/>
          <w:sz w:val="24"/>
          <w:szCs w:val="24"/>
        </w:rPr>
        <w:t>分别</w:t>
      </w:r>
      <w:r w:rsidR="00211A06" w:rsidRPr="00646B70">
        <w:rPr>
          <w:rFonts w:hint="eastAsia"/>
          <w:sz w:val="24"/>
          <w:szCs w:val="24"/>
        </w:rPr>
        <w:t>于</w:t>
      </w:r>
      <w:r w:rsidR="00211A06" w:rsidRPr="00646B70">
        <w:rPr>
          <w:rFonts w:hint="eastAsia"/>
          <w:sz w:val="24"/>
          <w:szCs w:val="24"/>
        </w:rPr>
        <w:t>2</w:t>
      </w:r>
      <w:r w:rsidR="00211A06" w:rsidRPr="00646B70">
        <w:rPr>
          <w:sz w:val="24"/>
          <w:szCs w:val="24"/>
        </w:rPr>
        <w:t>024</w:t>
      </w:r>
      <w:r w:rsidR="00211A06" w:rsidRPr="00646B70">
        <w:rPr>
          <w:rFonts w:hint="eastAsia"/>
          <w:sz w:val="24"/>
          <w:szCs w:val="24"/>
        </w:rPr>
        <w:t>年</w:t>
      </w:r>
      <w:r w:rsidR="00211A06" w:rsidRPr="00646B70">
        <w:rPr>
          <w:rFonts w:hint="eastAsia"/>
          <w:sz w:val="24"/>
          <w:szCs w:val="24"/>
        </w:rPr>
        <w:t>1</w:t>
      </w:r>
      <w:r w:rsidR="00211A06" w:rsidRPr="00646B70">
        <w:rPr>
          <w:rFonts w:hint="eastAsia"/>
          <w:sz w:val="24"/>
          <w:szCs w:val="24"/>
        </w:rPr>
        <w:t>月</w:t>
      </w:r>
      <w:r w:rsidR="00211A06" w:rsidRPr="00646B70">
        <w:rPr>
          <w:rFonts w:hint="eastAsia"/>
          <w:sz w:val="24"/>
          <w:szCs w:val="24"/>
        </w:rPr>
        <w:t>3</w:t>
      </w:r>
      <w:r w:rsidR="00211A06" w:rsidRPr="00646B70">
        <w:rPr>
          <w:sz w:val="24"/>
          <w:szCs w:val="24"/>
        </w:rPr>
        <w:t>0</w:t>
      </w:r>
      <w:r w:rsidR="00211A06" w:rsidRPr="00646B70">
        <w:rPr>
          <w:rFonts w:hint="eastAsia"/>
          <w:sz w:val="24"/>
          <w:szCs w:val="24"/>
        </w:rPr>
        <w:t>日</w:t>
      </w:r>
      <w:r w:rsidR="00412B56" w:rsidRPr="00646B70">
        <w:rPr>
          <w:rFonts w:hint="eastAsia"/>
          <w:sz w:val="24"/>
          <w:szCs w:val="24"/>
        </w:rPr>
        <w:t>和</w:t>
      </w:r>
      <w:r w:rsidR="003E017C" w:rsidRPr="00646B70">
        <w:rPr>
          <w:sz w:val="24"/>
          <w:szCs w:val="24"/>
        </w:rPr>
        <w:t>2024</w:t>
      </w:r>
      <w:r w:rsidR="003E017C" w:rsidRPr="00646B70">
        <w:rPr>
          <w:sz w:val="24"/>
          <w:szCs w:val="24"/>
        </w:rPr>
        <w:t>年</w:t>
      </w:r>
      <w:r w:rsidR="003E017C" w:rsidRPr="00646B70">
        <w:rPr>
          <w:sz w:val="24"/>
          <w:szCs w:val="24"/>
        </w:rPr>
        <w:t>2</w:t>
      </w:r>
      <w:r w:rsidR="003E017C" w:rsidRPr="00646B70">
        <w:rPr>
          <w:sz w:val="24"/>
          <w:szCs w:val="24"/>
        </w:rPr>
        <w:t>月</w:t>
      </w:r>
      <w:r w:rsidR="003E017C" w:rsidRPr="00646B70">
        <w:rPr>
          <w:sz w:val="24"/>
          <w:szCs w:val="24"/>
        </w:rPr>
        <w:t>5</w:t>
      </w:r>
      <w:r w:rsidR="003E017C" w:rsidRPr="00646B70">
        <w:rPr>
          <w:sz w:val="24"/>
          <w:szCs w:val="24"/>
        </w:rPr>
        <w:t>日</w:t>
      </w:r>
      <w:r w:rsidR="00211A06" w:rsidRPr="00646B70">
        <w:rPr>
          <w:rFonts w:hint="eastAsia"/>
          <w:sz w:val="24"/>
          <w:szCs w:val="24"/>
        </w:rPr>
        <w:t>发布了《股票交易异常波动公告》（公告编号：临</w:t>
      </w:r>
      <w:r w:rsidR="00211A06" w:rsidRPr="00646B70">
        <w:rPr>
          <w:rFonts w:hint="eastAsia"/>
          <w:sz w:val="24"/>
          <w:szCs w:val="24"/>
        </w:rPr>
        <w:t>2</w:t>
      </w:r>
      <w:r w:rsidR="00211A06" w:rsidRPr="00646B70">
        <w:rPr>
          <w:sz w:val="24"/>
          <w:szCs w:val="24"/>
        </w:rPr>
        <w:t>024</w:t>
      </w:r>
      <w:r w:rsidR="00211A06" w:rsidRPr="00646B70">
        <w:rPr>
          <w:rFonts w:hint="eastAsia"/>
          <w:sz w:val="24"/>
          <w:szCs w:val="24"/>
        </w:rPr>
        <w:t>-</w:t>
      </w:r>
      <w:r w:rsidR="00211A06" w:rsidRPr="00646B70">
        <w:rPr>
          <w:sz w:val="24"/>
          <w:szCs w:val="24"/>
        </w:rPr>
        <w:t>006</w:t>
      </w:r>
      <w:r w:rsidR="00211A06" w:rsidRPr="00646B70">
        <w:rPr>
          <w:rFonts w:hint="eastAsia"/>
          <w:sz w:val="24"/>
          <w:szCs w:val="24"/>
        </w:rPr>
        <w:t>）</w:t>
      </w:r>
      <w:r w:rsidR="003E017C" w:rsidRPr="00646B70">
        <w:rPr>
          <w:rFonts w:hint="eastAsia"/>
          <w:sz w:val="24"/>
          <w:szCs w:val="24"/>
        </w:rPr>
        <w:t>和</w:t>
      </w:r>
      <w:r w:rsidR="003E017C" w:rsidRPr="00646B70">
        <w:rPr>
          <w:sz w:val="24"/>
          <w:szCs w:val="24"/>
        </w:rPr>
        <w:t>《关于澄清事项的进一步公告》（公告编号：临</w:t>
      </w:r>
      <w:r w:rsidR="003E017C" w:rsidRPr="00646B70">
        <w:rPr>
          <w:sz w:val="24"/>
          <w:szCs w:val="24"/>
        </w:rPr>
        <w:t>2024-011</w:t>
      </w:r>
      <w:r w:rsidR="003E017C" w:rsidRPr="00646B70">
        <w:rPr>
          <w:sz w:val="24"/>
          <w:szCs w:val="24"/>
        </w:rPr>
        <w:t>），</w:t>
      </w:r>
      <w:r w:rsidR="00211A06" w:rsidRPr="00646B70">
        <w:rPr>
          <w:rFonts w:hint="eastAsia"/>
          <w:sz w:val="24"/>
          <w:szCs w:val="24"/>
        </w:rPr>
        <w:t>就</w:t>
      </w:r>
      <w:r w:rsidR="00783B30" w:rsidRPr="00646B70">
        <w:rPr>
          <w:rFonts w:hint="eastAsia"/>
          <w:sz w:val="24"/>
          <w:szCs w:val="24"/>
        </w:rPr>
        <w:t>某</w:t>
      </w:r>
      <w:r w:rsidR="00211A06" w:rsidRPr="00646B70">
        <w:rPr>
          <w:rFonts w:hint="eastAsia"/>
          <w:sz w:val="24"/>
          <w:szCs w:val="24"/>
        </w:rPr>
        <w:t>项</w:t>
      </w:r>
      <w:r w:rsidR="00D363FE" w:rsidRPr="00646B70">
        <w:rPr>
          <w:rFonts w:hint="eastAsia"/>
          <w:sz w:val="24"/>
          <w:szCs w:val="24"/>
        </w:rPr>
        <w:t>最近</w:t>
      </w:r>
      <w:r w:rsidR="00211A06" w:rsidRPr="00646B70">
        <w:rPr>
          <w:rFonts w:hint="eastAsia"/>
          <w:sz w:val="24"/>
          <w:szCs w:val="24"/>
        </w:rPr>
        <w:t>提交美国</w:t>
      </w:r>
      <w:r w:rsidR="008F5284" w:rsidRPr="00646B70">
        <w:rPr>
          <w:rFonts w:hint="eastAsia"/>
          <w:sz w:val="24"/>
          <w:szCs w:val="24"/>
        </w:rPr>
        <w:t>众议院和美国参议院</w:t>
      </w:r>
      <w:r w:rsidR="00211A06" w:rsidRPr="00646B70">
        <w:rPr>
          <w:rFonts w:hint="eastAsia"/>
          <w:sz w:val="24"/>
          <w:szCs w:val="24"/>
        </w:rPr>
        <w:t>的</w:t>
      </w:r>
      <w:r w:rsidR="00D363FE" w:rsidRPr="00646B70">
        <w:rPr>
          <w:rFonts w:hint="eastAsia"/>
          <w:sz w:val="24"/>
          <w:szCs w:val="24"/>
        </w:rPr>
        <w:t>拟议立法</w:t>
      </w:r>
      <w:r w:rsidR="00211A06" w:rsidRPr="00646B70">
        <w:rPr>
          <w:rFonts w:hint="eastAsia"/>
          <w:sz w:val="24"/>
          <w:szCs w:val="24"/>
        </w:rPr>
        <w:t>草案中药明康德被提及的有关事项进行了说明和澄清。</w:t>
      </w:r>
    </w:p>
    <w:p w14:paraId="0E2F3E96" w14:textId="37226729" w:rsidR="00A74782" w:rsidRPr="00646B70" w:rsidRDefault="008F5284" w:rsidP="00453FE0">
      <w:pPr>
        <w:spacing w:beforeLines="50" w:before="156" w:afterLines="50" w:after="156" w:line="360" w:lineRule="auto"/>
        <w:ind w:firstLineChars="200" w:firstLine="480"/>
        <w:rPr>
          <w:sz w:val="24"/>
          <w:szCs w:val="24"/>
        </w:rPr>
      </w:pPr>
      <w:r w:rsidRPr="00646B70">
        <w:rPr>
          <w:rFonts w:hint="eastAsia"/>
          <w:sz w:val="24"/>
          <w:szCs w:val="24"/>
        </w:rPr>
        <w:t>本</w:t>
      </w:r>
      <w:r w:rsidR="00F916DA" w:rsidRPr="00646B70">
        <w:rPr>
          <w:rFonts w:hint="eastAsia"/>
          <w:sz w:val="24"/>
          <w:szCs w:val="24"/>
        </w:rPr>
        <w:t>公司在</w:t>
      </w:r>
      <w:r w:rsidR="00A74782" w:rsidRPr="00646B70">
        <w:rPr>
          <w:rFonts w:hint="eastAsia"/>
          <w:sz w:val="24"/>
          <w:szCs w:val="24"/>
        </w:rPr>
        <w:t>此</w:t>
      </w:r>
      <w:r w:rsidR="00F916DA" w:rsidRPr="00646B70">
        <w:rPr>
          <w:rFonts w:hint="eastAsia"/>
          <w:sz w:val="24"/>
          <w:szCs w:val="24"/>
        </w:rPr>
        <w:t>澄清</w:t>
      </w:r>
      <w:r w:rsidR="003E017C" w:rsidRPr="00646B70">
        <w:rPr>
          <w:sz w:val="24"/>
          <w:szCs w:val="24"/>
        </w:rPr>
        <w:t>：</w:t>
      </w:r>
      <w:r w:rsidR="00A74782" w:rsidRPr="00646B70">
        <w:rPr>
          <w:rFonts w:hint="eastAsia"/>
          <w:sz w:val="24"/>
          <w:szCs w:val="24"/>
        </w:rPr>
        <w:t>“</w:t>
      </w:r>
      <w:r w:rsidR="00A74782" w:rsidRPr="0093698D">
        <w:rPr>
          <w:rFonts w:eastAsia="Times New Roman"/>
          <w:color w:val="231F20"/>
          <w:kern w:val="0"/>
          <w:sz w:val="24"/>
          <w:szCs w:val="24"/>
          <w:lang w:eastAsia="zh-TW"/>
        </w:rPr>
        <w:t xml:space="preserve">WuXi </w:t>
      </w:r>
      <w:proofErr w:type="spellStart"/>
      <w:r w:rsidR="00A74782" w:rsidRPr="0093698D">
        <w:rPr>
          <w:rFonts w:eastAsia="Times New Roman"/>
          <w:color w:val="231F20"/>
          <w:kern w:val="0"/>
          <w:sz w:val="24"/>
          <w:szCs w:val="24"/>
          <w:lang w:eastAsia="zh-TW"/>
        </w:rPr>
        <w:t>AppTec</w:t>
      </w:r>
      <w:proofErr w:type="spellEnd"/>
      <w:r w:rsidR="00A74782" w:rsidRPr="0093698D">
        <w:rPr>
          <w:rFonts w:eastAsia="Times New Roman"/>
          <w:color w:val="231F20"/>
          <w:kern w:val="0"/>
          <w:sz w:val="24"/>
          <w:szCs w:val="24"/>
          <w:lang w:eastAsia="zh-TW"/>
        </w:rPr>
        <w:t xml:space="preserve"> Co., Ltd.</w:t>
      </w:r>
      <w:r w:rsidR="00A74782" w:rsidRPr="00646B70">
        <w:rPr>
          <w:rFonts w:hint="eastAsia"/>
          <w:sz w:val="24"/>
          <w:szCs w:val="24"/>
        </w:rPr>
        <w:t>”</w:t>
      </w:r>
      <w:r w:rsidR="00453FE0" w:rsidRPr="00646B70">
        <w:rPr>
          <w:rFonts w:hint="eastAsia"/>
          <w:sz w:val="24"/>
          <w:szCs w:val="24"/>
        </w:rPr>
        <w:t>为本公司英文名</w:t>
      </w:r>
      <w:r w:rsidR="00D977B5" w:rsidRPr="00646B70">
        <w:rPr>
          <w:rFonts w:hint="eastAsia"/>
          <w:sz w:val="24"/>
          <w:szCs w:val="24"/>
        </w:rPr>
        <w:t>称</w:t>
      </w:r>
      <w:r w:rsidR="00453FE0" w:rsidRPr="00646B70">
        <w:rPr>
          <w:rFonts w:hint="eastAsia"/>
          <w:sz w:val="24"/>
          <w:szCs w:val="24"/>
        </w:rPr>
        <w:t>。</w:t>
      </w:r>
      <w:r w:rsidR="00D2103B" w:rsidRPr="00646B70">
        <w:rPr>
          <w:rFonts w:hint="eastAsia"/>
          <w:sz w:val="24"/>
          <w:szCs w:val="24"/>
        </w:rPr>
        <w:t>“</w:t>
      </w:r>
      <w:r w:rsidR="00D2103B" w:rsidRPr="0093698D">
        <w:rPr>
          <w:rFonts w:eastAsia="Times New Roman"/>
          <w:color w:val="231F20"/>
          <w:kern w:val="0"/>
          <w:sz w:val="24"/>
          <w:szCs w:val="24"/>
        </w:rPr>
        <w:t>Wuxi</w:t>
      </w:r>
      <w:r w:rsidR="00D2103B" w:rsidRPr="00646B70">
        <w:rPr>
          <w:rFonts w:hint="eastAsia"/>
          <w:sz w:val="24"/>
          <w:szCs w:val="24"/>
        </w:rPr>
        <w:t>”或者</w:t>
      </w:r>
      <w:r w:rsidR="00A74782" w:rsidRPr="00646B70">
        <w:rPr>
          <w:rFonts w:hint="eastAsia"/>
          <w:sz w:val="24"/>
          <w:szCs w:val="24"/>
        </w:rPr>
        <w:t>“</w:t>
      </w:r>
      <w:r w:rsidR="00A74782" w:rsidRPr="0093698D">
        <w:rPr>
          <w:rFonts w:eastAsia="Times New Roman"/>
          <w:color w:val="231F20"/>
          <w:kern w:val="0"/>
          <w:sz w:val="24"/>
          <w:szCs w:val="24"/>
        </w:rPr>
        <w:t>WuXi</w:t>
      </w:r>
      <w:r w:rsidR="00A74782" w:rsidRPr="00646B70">
        <w:rPr>
          <w:rFonts w:hint="eastAsia"/>
          <w:sz w:val="24"/>
          <w:szCs w:val="24"/>
        </w:rPr>
        <w:t>”</w:t>
      </w:r>
      <w:r w:rsidR="00F2073E" w:rsidRPr="00646B70">
        <w:rPr>
          <w:rFonts w:hint="eastAsia"/>
          <w:sz w:val="24"/>
          <w:szCs w:val="24"/>
        </w:rPr>
        <w:t>并</w:t>
      </w:r>
      <w:r w:rsidR="00F916DA" w:rsidRPr="00646B70">
        <w:rPr>
          <w:rFonts w:hint="eastAsia"/>
          <w:sz w:val="24"/>
          <w:szCs w:val="24"/>
        </w:rPr>
        <w:t>非</w:t>
      </w:r>
      <w:r w:rsidR="00D977B5" w:rsidRPr="00646B70">
        <w:rPr>
          <w:rFonts w:hint="eastAsia"/>
          <w:sz w:val="24"/>
          <w:szCs w:val="24"/>
        </w:rPr>
        <w:t>本</w:t>
      </w:r>
      <w:r w:rsidR="00A74782" w:rsidRPr="00646B70">
        <w:rPr>
          <w:rFonts w:hint="eastAsia"/>
          <w:sz w:val="24"/>
          <w:szCs w:val="24"/>
        </w:rPr>
        <w:t>公司名</w:t>
      </w:r>
      <w:r w:rsidR="00D977B5" w:rsidRPr="00646B70">
        <w:rPr>
          <w:rFonts w:hint="eastAsia"/>
          <w:sz w:val="24"/>
          <w:szCs w:val="24"/>
        </w:rPr>
        <w:t>称</w:t>
      </w:r>
      <w:r w:rsidR="00453FE0" w:rsidRPr="00646B70">
        <w:rPr>
          <w:rFonts w:hint="eastAsia"/>
          <w:sz w:val="24"/>
          <w:szCs w:val="24"/>
        </w:rPr>
        <w:t>，</w:t>
      </w:r>
      <w:r w:rsidR="00A74782" w:rsidRPr="00646B70">
        <w:rPr>
          <w:rFonts w:hint="eastAsia"/>
          <w:sz w:val="24"/>
          <w:szCs w:val="24"/>
        </w:rPr>
        <w:t>而是城市“无锡”的汉语拼音。无锡市位于中国东部</w:t>
      </w:r>
      <w:r w:rsidR="00453FE0" w:rsidRPr="00646B70">
        <w:rPr>
          <w:rFonts w:hint="eastAsia"/>
          <w:sz w:val="24"/>
          <w:szCs w:val="24"/>
        </w:rPr>
        <w:t>的</w:t>
      </w:r>
      <w:r w:rsidR="00A74782" w:rsidRPr="00646B70">
        <w:rPr>
          <w:rFonts w:hint="eastAsia"/>
          <w:sz w:val="24"/>
          <w:szCs w:val="24"/>
        </w:rPr>
        <w:t>长江三角洲，距离上海约</w:t>
      </w:r>
      <w:r w:rsidR="00213C39" w:rsidRPr="00646B70">
        <w:rPr>
          <w:sz w:val="24"/>
          <w:szCs w:val="24"/>
        </w:rPr>
        <w:t>1</w:t>
      </w:r>
      <w:r w:rsidR="00213C39">
        <w:rPr>
          <w:sz w:val="24"/>
          <w:szCs w:val="24"/>
        </w:rPr>
        <w:t>3</w:t>
      </w:r>
      <w:r w:rsidR="00213C39" w:rsidRPr="00646B70">
        <w:rPr>
          <w:sz w:val="24"/>
          <w:szCs w:val="24"/>
        </w:rPr>
        <w:t>0</w:t>
      </w:r>
      <w:r w:rsidRPr="00646B70">
        <w:rPr>
          <w:rFonts w:hint="eastAsia"/>
          <w:sz w:val="24"/>
          <w:szCs w:val="24"/>
        </w:rPr>
        <w:t>公里</w:t>
      </w:r>
      <w:r w:rsidR="00A74782" w:rsidRPr="00646B70">
        <w:rPr>
          <w:rFonts w:hint="eastAsia"/>
          <w:sz w:val="24"/>
          <w:szCs w:val="24"/>
        </w:rPr>
        <w:t>。</w:t>
      </w:r>
      <w:r w:rsidR="00453FE0" w:rsidRPr="00646B70">
        <w:rPr>
          <w:rFonts w:hint="eastAsia"/>
          <w:sz w:val="24"/>
          <w:szCs w:val="24"/>
        </w:rPr>
        <w:t>作为</w:t>
      </w:r>
      <w:r w:rsidR="00A74782" w:rsidRPr="00646B70">
        <w:rPr>
          <w:sz w:val="24"/>
          <w:szCs w:val="24"/>
        </w:rPr>
        <w:t>一家</w:t>
      </w:r>
      <w:r w:rsidR="00A74782" w:rsidRPr="00646B70">
        <w:rPr>
          <w:rFonts w:hint="eastAsia"/>
          <w:sz w:val="24"/>
          <w:szCs w:val="24"/>
        </w:rPr>
        <w:t>注册于</w:t>
      </w:r>
      <w:r w:rsidR="00A74782" w:rsidRPr="00646B70">
        <w:rPr>
          <w:sz w:val="24"/>
          <w:szCs w:val="24"/>
        </w:rPr>
        <w:t>无锡市的外商投资股份有限公司，</w:t>
      </w:r>
      <w:r w:rsidR="0019244A">
        <w:rPr>
          <w:rFonts w:hint="eastAsia"/>
          <w:sz w:val="24"/>
          <w:szCs w:val="24"/>
        </w:rPr>
        <w:t>我们</w:t>
      </w:r>
      <w:r w:rsidR="00453FE0" w:rsidRPr="00646B70">
        <w:rPr>
          <w:rFonts w:hint="eastAsia"/>
          <w:sz w:val="24"/>
          <w:szCs w:val="24"/>
        </w:rPr>
        <w:t>在</w:t>
      </w:r>
      <w:r w:rsidR="00A74782" w:rsidRPr="00646B70">
        <w:rPr>
          <w:sz w:val="24"/>
          <w:szCs w:val="24"/>
        </w:rPr>
        <w:t>二十多年前</w:t>
      </w:r>
      <w:r w:rsidR="00453FE0" w:rsidRPr="00646B70">
        <w:rPr>
          <w:rFonts w:hint="eastAsia"/>
          <w:sz w:val="24"/>
          <w:szCs w:val="24"/>
        </w:rPr>
        <w:t>从</w:t>
      </w:r>
      <w:r w:rsidR="000E08B6" w:rsidRPr="00646B70">
        <w:rPr>
          <w:rFonts w:hint="eastAsia"/>
          <w:sz w:val="24"/>
          <w:szCs w:val="24"/>
        </w:rPr>
        <w:t>该</w:t>
      </w:r>
      <w:r w:rsidR="00453FE0" w:rsidRPr="00646B70">
        <w:rPr>
          <w:rFonts w:hint="eastAsia"/>
          <w:sz w:val="24"/>
          <w:szCs w:val="24"/>
        </w:rPr>
        <w:t>地</w:t>
      </w:r>
      <w:r w:rsidR="00F916DA" w:rsidRPr="00646B70">
        <w:rPr>
          <w:rFonts w:hint="eastAsia"/>
          <w:sz w:val="24"/>
          <w:szCs w:val="24"/>
        </w:rPr>
        <w:t>开始</w:t>
      </w:r>
      <w:r w:rsidR="00A74782" w:rsidRPr="00646B70">
        <w:rPr>
          <w:rFonts w:hint="eastAsia"/>
          <w:sz w:val="24"/>
          <w:szCs w:val="24"/>
        </w:rPr>
        <w:t>了</w:t>
      </w:r>
      <w:r w:rsidR="00453FE0" w:rsidRPr="00646B70">
        <w:rPr>
          <w:rFonts w:hint="eastAsia"/>
          <w:sz w:val="24"/>
          <w:szCs w:val="24"/>
        </w:rPr>
        <w:t>本公司的</w:t>
      </w:r>
      <w:r w:rsidR="00A74782" w:rsidRPr="00646B70">
        <w:rPr>
          <w:sz w:val="24"/>
          <w:szCs w:val="24"/>
        </w:rPr>
        <w:t>医药研发合同外包服务（</w:t>
      </w:r>
      <w:r w:rsidR="00A74782" w:rsidRPr="00646B70">
        <w:rPr>
          <w:sz w:val="24"/>
          <w:szCs w:val="24"/>
        </w:rPr>
        <w:t>CRO</w:t>
      </w:r>
      <w:r w:rsidR="00A74782" w:rsidRPr="00646B70">
        <w:rPr>
          <w:sz w:val="24"/>
          <w:szCs w:val="24"/>
        </w:rPr>
        <w:t>）业务</w:t>
      </w:r>
      <w:r w:rsidR="00A74782" w:rsidRPr="00646B70">
        <w:rPr>
          <w:rFonts w:hint="eastAsia"/>
          <w:sz w:val="24"/>
          <w:szCs w:val="24"/>
        </w:rPr>
        <w:t>。</w:t>
      </w:r>
    </w:p>
    <w:p w14:paraId="260EF487" w14:textId="76CBE0E5" w:rsidR="003E017C" w:rsidRPr="00646B70" w:rsidRDefault="00AC7E98" w:rsidP="00806B94">
      <w:pPr>
        <w:spacing w:beforeLines="50" w:before="156" w:afterLines="50" w:after="156" w:line="360" w:lineRule="auto"/>
        <w:ind w:firstLineChars="200" w:firstLine="480"/>
        <w:rPr>
          <w:sz w:val="24"/>
          <w:szCs w:val="24"/>
        </w:rPr>
      </w:pPr>
      <w:r w:rsidRPr="00646B70">
        <w:rPr>
          <w:rFonts w:hint="eastAsia"/>
          <w:sz w:val="24"/>
          <w:szCs w:val="24"/>
        </w:rPr>
        <w:t>本</w:t>
      </w:r>
      <w:r w:rsidR="00A74782" w:rsidRPr="00646B70">
        <w:rPr>
          <w:rFonts w:hint="eastAsia"/>
          <w:sz w:val="24"/>
          <w:szCs w:val="24"/>
        </w:rPr>
        <w:t>公司</w:t>
      </w:r>
      <w:r w:rsidR="00453FE0" w:rsidRPr="00646B70">
        <w:rPr>
          <w:rFonts w:hint="eastAsia"/>
          <w:sz w:val="24"/>
          <w:szCs w:val="24"/>
        </w:rPr>
        <w:t>亦籍此</w:t>
      </w:r>
      <w:r w:rsidR="00A74782" w:rsidRPr="00646B70">
        <w:rPr>
          <w:rFonts w:hint="eastAsia"/>
          <w:sz w:val="24"/>
          <w:szCs w:val="24"/>
        </w:rPr>
        <w:t>重申，</w:t>
      </w:r>
      <w:r w:rsidR="00474B8D" w:rsidRPr="00646B70">
        <w:rPr>
          <w:rFonts w:hint="eastAsia"/>
          <w:sz w:val="24"/>
          <w:szCs w:val="24"/>
        </w:rPr>
        <w:t>本</w:t>
      </w:r>
      <w:r w:rsidR="00453FE0" w:rsidRPr="00646B70">
        <w:rPr>
          <w:rFonts w:hint="eastAsia"/>
          <w:sz w:val="24"/>
          <w:szCs w:val="24"/>
        </w:rPr>
        <w:t>公司</w:t>
      </w:r>
      <w:r w:rsidR="00A74782" w:rsidRPr="00646B70">
        <w:rPr>
          <w:rFonts w:hint="eastAsia"/>
          <w:sz w:val="24"/>
          <w:szCs w:val="24"/>
        </w:rPr>
        <w:t>没有人类基因组学业务，现有各类业务不会收集人类基因组数据</w:t>
      </w:r>
      <w:r w:rsidR="00A74782" w:rsidRPr="00646B70">
        <w:rPr>
          <w:sz w:val="24"/>
          <w:szCs w:val="24"/>
        </w:rPr>
        <w:t>。</w:t>
      </w:r>
      <w:r w:rsidR="0019244A">
        <w:rPr>
          <w:rFonts w:hint="eastAsia"/>
          <w:sz w:val="24"/>
          <w:szCs w:val="24"/>
        </w:rPr>
        <w:t>我们</w:t>
      </w:r>
      <w:r w:rsidR="00A74782" w:rsidRPr="00646B70">
        <w:rPr>
          <w:rFonts w:hint="eastAsia"/>
          <w:sz w:val="24"/>
          <w:szCs w:val="24"/>
        </w:rPr>
        <w:t>提供基于合同的研究、开发和生产服务，</w:t>
      </w:r>
      <w:r w:rsidR="009034BD" w:rsidRPr="00646B70">
        <w:rPr>
          <w:sz w:val="24"/>
          <w:szCs w:val="24"/>
        </w:rPr>
        <w:t>通过赋能</w:t>
      </w:r>
      <w:r w:rsidR="00683E7B" w:rsidRPr="00646B70">
        <w:rPr>
          <w:rFonts w:hint="eastAsia"/>
          <w:sz w:val="24"/>
          <w:szCs w:val="24"/>
        </w:rPr>
        <w:t>全球</w:t>
      </w:r>
      <w:r w:rsidR="009034BD" w:rsidRPr="00646B70">
        <w:rPr>
          <w:sz w:val="24"/>
          <w:szCs w:val="24"/>
        </w:rPr>
        <w:t>制药</w:t>
      </w:r>
      <w:r w:rsidR="009034BD" w:rsidRPr="00646B70">
        <w:rPr>
          <w:rFonts w:hint="eastAsia"/>
          <w:sz w:val="24"/>
          <w:szCs w:val="24"/>
        </w:rPr>
        <w:t>和</w:t>
      </w:r>
      <w:r w:rsidR="002B6899" w:rsidRPr="00646B70">
        <w:rPr>
          <w:rFonts w:hint="eastAsia"/>
          <w:sz w:val="24"/>
          <w:szCs w:val="24"/>
        </w:rPr>
        <w:t>生命科学</w:t>
      </w:r>
      <w:r w:rsidR="009034BD" w:rsidRPr="00646B70">
        <w:rPr>
          <w:rFonts w:hint="eastAsia"/>
          <w:sz w:val="24"/>
          <w:szCs w:val="24"/>
        </w:rPr>
        <w:t>行业</w:t>
      </w:r>
      <w:r w:rsidR="009034BD" w:rsidRPr="00646B70">
        <w:rPr>
          <w:sz w:val="24"/>
          <w:szCs w:val="24"/>
        </w:rPr>
        <w:t>，致力于推动新药研发</w:t>
      </w:r>
      <w:r w:rsidR="00453FE0" w:rsidRPr="00646B70">
        <w:rPr>
          <w:rFonts w:hint="eastAsia"/>
          <w:sz w:val="24"/>
          <w:szCs w:val="24"/>
        </w:rPr>
        <w:t>并</w:t>
      </w:r>
      <w:r w:rsidR="009034BD" w:rsidRPr="00646B70">
        <w:rPr>
          <w:sz w:val="24"/>
          <w:szCs w:val="24"/>
        </w:rPr>
        <w:t>为患者带来</w:t>
      </w:r>
      <w:r w:rsidR="00AC4FF4" w:rsidRPr="00646B70">
        <w:rPr>
          <w:rFonts w:hint="eastAsia"/>
          <w:sz w:val="24"/>
          <w:szCs w:val="24"/>
        </w:rPr>
        <w:t>挽救生命</w:t>
      </w:r>
      <w:r w:rsidR="009034BD" w:rsidRPr="00646B70">
        <w:rPr>
          <w:sz w:val="24"/>
          <w:szCs w:val="24"/>
        </w:rPr>
        <w:t>的</w:t>
      </w:r>
      <w:r w:rsidR="00213C39">
        <w:rPr>
          <w:rFonts w:hint="eastAsia"/>
          <w:sz w:val="24"/>
          <w:szCs w:val="24"/>
        </w:rPr>
        <w:t>新药</w:t>
      </w:r>
      <w:r w:rsidR="00A74782" w:rsidRPr="00646B70">
        <w:rPr>
          <w:rFonts w:hint="eastAsia"/>
          <w:sz w:val="24"/>
          <w:szCs w:val="24"/>
        </w:rPr>
        <w:t>。</w:t>
      </w:r>
    </w:p>
    <w:p w14:paraId="4E2F23CE" w14:textId="65BA613D" w:rsidR="00F21FA0" w:rsidRPr="00646B70" w:rsidRDefault="00F21FA0" w:rsidP="004E4EE1">
      <w:pPr>
        <w:spacing w:beforeLines="50" w:before="156" w:afterLines="50" w:after="156" w:line="360" w:lineRule="auto"/>
        <w:ind w:firstLineChars="200" w:firstLine="480"/>
        <w:rPr>
          <w:sz w:val="24"/>
          <w:szCs w:val="24"/>
        </w:rPr>
      </w:pPr>
      <w:r w:rsidRPr="00646B70">
        <w:rPr>
          <w:rFonts w:hint="eastAsia"/>
          <w:sz w:val="24"/>
          <w:szCs w:val="24"/>
        </w:rPr>
        <w:t>有关公司的信息请以</w:t>
      </w:r>
      <w:r w:rsidR="009F5163">
        <w:rPr>
          <w:rFonts w:hint="eastAsia"/>
          <w:sz w:val="24"/>
          <w:szCs w:val="24"/>
        </w:rPr>
        <w:t>本</w:t>
      </w:r>
      <w:r w:rsidRPr="00646B70">
        <w:rPr>
          <w:rFonts w:hint="eastAsia"/>
          <w:sz w:val="24"/>
          <w:szCs w:val="24"/>
        </w:rPr>
        <w:t>公司于</w:t>
      </w:r>
      <w:r w:rsidRPr="00646B70">
        <w:rPr>
          <w:rFonts w:hint="eastAsia"/>
          <w:color w:val="000000"/>
          <w:kern w:val="0"/>
          <w:sz w:val="24"/>
          <w:szCs w:val="24"/>
        </w:rPr>
        <w:t>上海证券交易所网站（</w:t>
      </w:r>
      <w:r w:rsidRPr="00646B70">
        <w:rPr>
          <w:color w:val="000000"/>
          <w:kern w:val="0"/>
          <w:sz w:val="24"/>
          <w:szCs w:val="24"/>
        </w:rPr>
        <w:t>www.sse.com.cn</w:t>
      </w:r>
      <w:r w:rsidRPr="00646B70">
        <w:rPr>
          <w:rFonts w:hint="eastAsia"/>
          <w:color w:val="000000"/>
          <w:kern w:val="0"/>
          <w:sz w:val="24"/>
          <w:szCs w:val="24"/>
        </w:rPr>
        <w:t>）及指定信息披露媒体刊登的相关公告为准，请广大投资者理性投资，注意投资风险。</w:t>
      </w:r>
    </w:p>
    <w:p w14:paraId="43015F3A" w14:textId="70EE4A0C" w:rsidR="00F21FA0" w:rsidRDefault="00F21FA0" w:rsidP="004E4EE1">
      <w:pPr>
        <w:spacing w:beforeLines="50" w:before="156" w:afterLines="50" w:after="156" w:line="360" w:lineRule="auto"/>
        <w:ind w:firstLineChars="200" w:firstLine="480"/>
        <w:rPr>
          <w:sz w:val="24"/>
          <w:szCs w:val="24"/>
        </w:rPr>
      </w:pPr>
      <w:r w:rsidRPr="00646B70">
        <w:rPr>
          <w:rFonts w:hint="eastAsia"/>
          <w:sz w:val="24"/>
          <w:szCs w:val="24"/>
        </w:rPr>
        <w:t>特此公告。</w:t>
      </w:r>
    </w:p>
    <w:p w14:paraId="009B9397" w14:textId="77777777" w:rsidR="003929DA" w:rsidRPr="00646B70" w:rsidRDefault="003929DA" w:rsidP="004E4EE1">
      <w:pPr>
        <w:spacing w:beforeLines="50" w:before="156" w:afterLines="50" w:after="156" w:line="360" w:lineRule="auto"/>
        <w:ind w:firstLineChars="200" w:firstLine="480"/>
        <w:rPr>
          <w:sz w:val="24"/>
          <w:szCs w:val="24"/>
        </w:rPr>
      </w:pPr>
    </w:p>
    <w:p w14:paraId="26AF1C4C" w14:textId="77777777" w:rsidR="00F21FA0" w:rsidRPr="00646B70" w:rsidRDefault="00F21FA0" w:rsidP="00F21FA0">
      <w:pPr>
        <w:spacing w:before="50" w:after="50" w:line="360" w:lineRule="auto"/>
        <w:jc w:val="right"/>
        <w:rPr>
          <w:sz w:val="24"/>
          <w:szCs w:val="24"/>
        </w:rPr>
      </w:pPr>
      <w:proofErr w:type="gramStart"/>
      <w:r w:rsidRPr="00646B70">
        <w:rPr>
          <w:rFonts w:hint="eastAsia"/>
          <w:sz w:val="24"/>
          <w:szCs w:val="24"/>
        </w:rPr>
        <w:t>无锡药明康德</w:t>
      </w:r>
      <w:proofErr w:type="gramEnd"/>
      <w:r w:rsidRPr="00646B70">
        <w:rPr>
          <w:rFonts w:hint="eastAsia"/>
          <w:sz w:val="24"/>
          <w:szCs w:val="24"/>
        </w:rPr>
        <w:t>新药开发股份有限公司董事会</w:t>
      </w:r>
    </w:p>
    <w:p w14:paraId="16E9B50A" w14:textId="69C38B16" w:rsidR="00F23E99" w:rsidRPr="00EC6D25" w:rsidRDefault="009C72B1" w:rsidP="00EC6D25">
      <w:pPr>
        <w:spacing w:before="50" w:after="50" w:line="360" w:lineRule="auto"/>
        <w:jc w:val="right"/>
        <w:rPr>
          <w:sz w:val="24"/>
          <w:szCs w:val="24"/>
        </w:rPr>
      </w:pPr>
      <w:r w:rsidRPr="00646B70">
        <w:rPr>
          <w:rFonts w:hint="eastAsia"/>
          <w:sz w:val="24"/>
          <w:szCs w:val="24"/>
        </w:rPr>
        <w:t>20</w:t>
      </w:r>
      <w:r w:rsidRPr="00646B70">
        <w:rPr>
          <w:sz w:val="24"/>
          <w:szCs w:val="24"/>
        </w:rPr>
        <w:t>2</w:t>
      </w:r>
      <w:r w:rsidR="00DC6F38" w:rsidRPr="00646B70">
        <w:rPr>
          <w:sz w:val="24"/>
          <w:szCs w:val="24"/>
        </w:rPr>
        <w:t>4</w:t>
      </w:r>
      <w:r w:rsidRPr="00646B70">
        <w:rPr>
          <w:rFonts w:hint="eastAsia"/>
          <w:sz w:val="24"/>
          <w:szCs w:val="24"/>
        </w:rPr>
        <w:t>年</w:t>
      </w:r>
      <w:r w:rsidR="00FA0834" w:rsidRPr="00646B70">
        <w:rPr>
          <w:sz w:val="24"/>
          <w:szCs w:val="24"/>
        </w:rPr>
        <w:t>2</w:t>
      </w:r>
      <w:r w:rsidR="00F21FA0" w:rsidRPr="00646B70">
        <w:rPr>
          <w:rFonts w:hint="eastAsia"/>
          <w:sz w:val="24"/>
          <w:szCs w:val="24"/>
        </w:rPr>
        <w:t>月</w:t>
      </w:r>
      <w:r w:rsidR="00005D94" w:rsidRPr="00646B70">
        <w:rPr>
          <w:sz w:val="24"/>
          <w:szCs w:val="24"/>
        </w:rPr>
        <w:t>19</w:t>
      </w:r>
      <w:r w:rsidR="00F21FA0" w:rsidRPr="00646B70">
        <w:rPr>
          <w:rFonts w:hint="eastAsia"/>
          <w:sz w:val="24"/>
          <w:szCs w:val="24"/>
        </w:rPr>
        <w:t>日</w:t>
      </w:r>
    </w:p>
    <w:sectPr w:rsidR="00F23E99" w:rsidRPr="00EC6D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5F7C" w14:textId="77777777" w:rsidR="004557FB" w:rsidRDefault="004557FB">
      <w:r>
        <w:separator/>
      </w:r>
    </w:p>
  </w:endnote>
  <w:endnote w:type="continuationSeparator" w:id="0">
    <w:p w14:paraId="2F6B241A" w14:textId="77777777" w:rsidR="004557FB" w:rsidRDefault="0045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TimesLTStd-Bold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89287"/>
      <w:docPartObj>
        <w:docPartGallery w:val="Page Numbers (Bottom of Page)"/>
        <w:docPartUnique/>
      </w:docPartObj>
    </w:sdtPr>
    <w:sdtEndPr/>
    <w:sdtContent>
      <w:p w14:paraId="3ADFC2F3" w14:textId="0F81E1B6" w:rsidR="00096410" w:rsidRDefault="00DF17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DA" w:rsidRPr="003929DA">
          <w:rPr>
            <w:noProof/>
            <w:lang w:val="zh-CN"/>
          </w:rPr>
          <w:t>1</w:t>
        </w:r>
        <w:r>
          <w:fldChar w:fldCharType="end"/>
        </w:r>
      </w:p>
    </w:sdtContent>
  </w:sdt>
  <w:p w14:paraId="3546C8D5" w14:textId="77777777" w:rsidR="00096410" w:rsidRDefault="000964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3D93" w14:textId="77777777" w:rsidR="004557FB" w:rsidRDefault="004557FB">
      <w:r>
        <w:separator/>
      </w:r>
    </w:p>
  </w:footnote>
  <w:footnote w:type="continuationSeparator" w:id="0">
    <w:p w14:paraId="02E506EC" w14:textId="77777777" w:rsidR="004557FB" w:rsidRDefault="0045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7383"/>
    <w:multiLevelType w:val="multilevel"/>
    <w:tmpl w:val="16087383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A0"/>
    <w:rsid w:val="00005D94"/>
    <w:rsid w:val="00022954"/>
    <w:rsid w:val="00065626"/>
    <w:rsid w:val="0008454B"/>
    <w:rsid w:val="00087C80"/>
    <w:rsid w:val="00096410"/>
    <w:rsid w:val="000A3576"/>
    <w:rsid w:val="000A57B7"/>
    <w:rsid w:val="000B5855"/>
    <w:rsid w:val="000E08B6"/>
    <w:rsid w:val="000F0C44"/>
    <w:rsid w:val="00117B3E"/>
    <w:rsid w:val="0016388D"/>
    <w:rsid w:val="00177774"/>
    <w:rsid w:val="00186952"/>
    <w:rsid w:val="0019244A"/>
    <w:rsid w:val="001A7DA0"/>
    <w:rsid w:val="001D5BD3"/>
    <w:rsid w:val="001E2AC4"/>
    <w:rsid w:val="001F2D4E"/>
    <w:rsid w:val="00211A06"/>
    <w:rsid w:val="00213C39"/>
    <w:rsid w:val="0022608F"/>
    <w:rsid w:val="00232981"/>
    <w:rsid w:val="002A711B"/>
    <w:rsid w:val="002B0E1C"/>
    <w:rsid w:val="002B6899"/>
    <w:rsid w:val="002B7A4F"/>
    <w:rsid w:val="002D2B7D"/>
    <w:rsid w:val="002D3EFB"/>
    <w:rsid w:val="002D7B76"/>
    <w:rsid w:val="002E0306"/>
    <w:rsid w:val="00303B52"/>
    <w:rsid w:val="00325EF8"/>
    <w:rsid w:val="00334892"/>
    <w:rsid w:val="00342032"/>
    <w:rsid w:val="00342056"/>
    <w:rsid w:val="00370C55"/>
    <w:rsid w:val="003929DA"/>
    <w:rsid w:val="003931E5"/>
    <w:rsid w:val="003B6687"/>
    <w:rsid w:val="003B7043"/>
    <w:rsid w:val="003C2A4C"/>
    <w:rsid w:val="003D477E"/>
    <w:rsid w:val="003D4B65"/>
    <w:rsid w:val="003E017C"/>
    <w:rsid w:val="003F5EC4"/>
    <w:rsid w:val="00412B56"/>
    <w:rsid w:val="00434555"/>
    <w:rsid w:val="00443306"/>
    <w:rsid w:val="00453FE0"/>
    <w:rsid w:val="004557FB"/>
    <w:rsid w:val="00470A33"/>
    <w:rsid w:val="00474B8D"/>
    <w:rsid w:val="0048608D"/>
    <w:rsid w:val="0048728B"/>
    <w:rsid w:val="004A25B7"/>
    <w:rsid w:val="004B1321"/>
    <w:rsid w:val="004B2C0A"/>
    <w:rsid w:val="004E4EE1"/>
    <w:rsid w:val="00555702"/>
    <w:rsid w:val="00567D18"/>
    <w:rsid w:val="00571D8B"/>
    <w:rsid w:val="00574E46"/>
    <w:rsid w:val="0057599F"/>
    <w:rsid w:val="005962A6"/>
    <w:rsid w:val="005A028A"/>
    <w:rsid w:val="005B1632"/>
    <w:rsid w:val="005D0BC4"/>
    <w:rsid w:val="005D712E"/>
    <w:rsid w:val="00631995"/>
    <w:rsid w:val="00637C00"/>
    <w:rsid w:val="00646B70"/>
    <w:rsid w:val="00680562"/>
    <w:rsid w:val="00683E7B"/>
    <w:rsid w:val="00687241"/>
    <w:rsid w:val="006A3702"/>
    <w:rsid w:val="006C01F2"/>
    <w:rsid w:val="006D1CDF"/>
    <w:rsid w:val="006E4BE2"/>
    <w:rsid w:val="00713042"/>
    <w:rsid w:val="007218DA"/>
    <w:rsid w:val="00752F8E"/>
    <w:rsid w:val="00753E3C"/>
    <w:rsid w:val="007775AA"/>
    <w:rsid w:val="00783B30"/>
    <w:rsid w:val="007A20C8"/>
    <w:rsid w:val="007B34D6"/>
    <w:rsid w:val="007D6F07"/>
    <w:rsid w:val="007E5398"/>
    <w:rsid w:val="007E6FB8"/>
    <w:rsid w:val="007E730E"/>
    <w:rsid w:val="007E73F9"/>
    <w:rsid w:val="007F62FB"/>
    <w:rsid w:val="00806B94"/>
    <w:rsid w:val="008545E4"/>
    <w:rsid w:val="008630EA"/>
    <w:rsid w:val="00880F58"/>
    <w:rsid w:val="0088249F"/>
    <w:rsid w:val="0088606F"/>
    <w:rsid w:val="00893F97"/>
    <w:rsid w:val="008A3218"/>
    <w:rsid w:val="008C7145"/>
    <w:rsid w:val="008D0874"/>
    <w:rsid w:val="008D57EF"/>
    <w:rsid w:val="008E2648"/>
    <w:rsid w:val="008F2886"/>
    <w:rsid w:val="008F5284"/>
    <w:rsid w:val="009034BD"/>
    <w:rsid w:val="009307FD"/>
    <w:rsid w:val="00932CB8"/>
    <w:rsid w:val="00934A37"/>
    <w:rsid w:val="0093698D"/>
    <w:rsid w:val="009412F3"/>
    <w:rsid w:val="00957489"/>
    <w:rsid w:val="00966708"/>
    <w:rsid w:val="0097053F"/>
    <w:rsid w:val="00992A2D"/>
    <w:rsid w:val="009C72B1"/>
    <w:rsid w:val="009E522F"/>
    <w:rsid w:val="009F5163"/>
    <w:rsid w:val="00A144D9"/>
    <w:rsid w:val="00A27CBF"/>
    <w:rsid w:val="00A325A4"/>
    <w:rsid w:val="00A62ED4"/>
    <w:rsid w:val="00A74782"/>
    <w:rsid w:val="00A8038E"/>
    <w:rsid w:val="00AA2240"/>
    <w:rsid w:val="00AC4FF4"/>
    <w:rsid w:val="00AC5695"/>
    <w:rsid w:val="00AC7E98"/>
    <w:rsid w:val="00AE1ECF"/>
    <w:rsid w:val="00AF533D"/>
    <w:rsid w:val="00B15CF7"/>
    <w:rsid w:val="00B46FE5"/>
    <w:rsid w:val="00B620D6"/>
    <w:rsid w:val="00B664AF"/>
    <w:rsid w:val="00B66971"/>
    <w:rsid w:val="00B823C4"/>
    <w:rsid w:val="00B82CE6"/>
    <w:rsid w:val="00B96982"/>
    <w:rsid w:val="00BA2433"/>
    <w:rsid w:val="00BB1961"/>
    <w:rsid w:val="00BC2D03"/>
    <w:rsid w:val="00BD1761"/>
    <w:rsid w:val="00BD7992"/>
    <w:rsid w:val="00C02219"/>
    <w:rsid w:val="00C07532"/>
    <w:rsid w:val="00C6105D"/>
    <w:rsid w:val="00C72480"/>
    <w:rsid w:val="00C9551A"/>
    <w:rsid w:val="00C96976"/>
    <w:rsid w:val="00C975C8"/>
    <w:rsid w:val="00CC0CF8"/>
    <w:rsid w:val="00CE6397"/>
    <w:rsid w:val="00D00A1F"/>
    <w:rsid w:val="00D00F95"/>
    <w:rsid w:val="00D2103B"/>
    <w:rsid w:val="00D30098"/>
    <w:rsid w:val="00D363FE"/>
    <w:rsid w:val="00D43408"/>
    <w:rsid w:val="00D822C8"/>
    <w:rsid w:val="00D977B5"/>
    <w:rsid w:val="00DC6F38"/>
    <w:rsid w:val="00DD7FD0"/>
    <w:rsid w:val="00DF17F4"/>
    <w:rsid w:val="00E00438"/>
    <w:rsid w:val="00E02357"/>
    <w:rsid w:val="00E20F0B"/>
    <w:rsid w:val="00E25BE7"/>
    <w:rsid w:val="00E334D9"/>
    <w:rsid w:val="00E4279F"/>
    <w:rsid w:val="00E512F7"/>
    <w:rsid w:val="00E940FD"/>
    <w:rsid w:val="00EA2A6F"/>
    <w:rsid w:val="00EA48E8"/>
    <w:rsid w:val="00EB0D75"/>
    <w:rsid w:val="00EC6D25"/>
    <w:rsid w:val="00F11094"/>
    <w:rsid w:val="00F11611"/>
    <w:rsid w:val="00F13455"/>
    <w:rsid w:val="00F2073E"/>
    <w:rsid w:val="00F21FA0"/>
    <w:rsid w:val="00F23E99"/>
    <w:rsid w:val="00F4159B"/>
    <w:rsid w:val="00F4326C"/>
    <w:rsid w:val="00F438B9"/>
    <w:rsid w:val="00F61187"/>
    <w:rsid w:val="00F916DA"/>
    <w:rsid w:val="00F97742"/>
    <w:rsid w:val="00FA0834"/>
    <w:rsid w:val="00FC1554"/>
    <w:rsid w:val="00FC1B0E"/>
    <w:rsid w:val="00FE0E62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BE507"/>
  <w15:chartTrackingRefBased/>
  <w15:docId w15:val="{FF127C1C-3D34-4FA4-A813-5BE1D7B3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A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1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21FA0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470A3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0A33"/>
    <w:rPr>
      <w:sz w:val="20"/>
    </w:rPr>
  </w:style>
  <w:style w:type="character" w:customStyle="1" w:styleId="a7">
    <w:name w:val="批注文字 字符"/>
    <w:basedOn w:val="a0"/>
    <w:link w:val="a6"/>
    <w:uiPriority w:val="99"/>
    <w:rsid w:val="00470A33"/>
    <w:rPr>
      <w:rFonts w:ascii="Times New Roman" w:eastAsia="宋体" w:hAnsi="Times New Roman" w:cs="Times New Roman"/>
      <w:kern w:val="2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0A3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470A33"/>
    <w:rPr>
      <w:rFonts w:ascii="Times New Roman" w:eastAsia="宋体" w:hAnsi="Times New Roman" w:cs="Times New Roman"/>
      <w:b/>
      <w:bCs/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0A33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0A33"/>
    <w:rPr>
      <w:rFonts w:ascii="Segoe UI" w:eastAsia="宋体" w:hAnsi="Segoe UI" w:cs="Segoe UI"/>
      <w:kern w:val="2"/>
      <w:sz w:val="18"/>
      <w:szCs w:val="18"/>
    </w:rPr>
  </w:style>
  <w:style w:type="character" w:customStyle="1" w:styleId="fontstyle01">
    <w:name w:val="fontstyle01"/>
    <w:basedOn w:val="a0"/>
    <w:rsid w:val="00470A33"/>
    <w:rPr>
      <w:rFonts w:ascii="TimesLTStd-Roman" w:hAnsi="TimesLTStd-Roman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21">
    <w:name w:val="fontstyle21"/>
    <w:basedOn w:val="a0"/>
    <w:rsid w:val="00470A33"/>
    <w:rPr>
      <w:rFonts w:ascii="TimesLTStd-Bold" w:hAnsi="TimesLTStd-Bold" w:hint="default"/>
      <w:b/>
      <w:bCs/>
      <w:i w:val="0"/>
      <w:iCs w:val="0"/>
      <w:color w:val="24202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AF533D"/>
    <w:pPr>
      <w:tabs>
        <w:tab w:val="center" w:pos="4680"/>
        <w:tab w:val="right" w:pos="9360"/>
      </w:tabs>
    </w:pPr>
  </w:style>
  <w:style w:type="character" w:customStyle="1" w:styleId="ad">
    <w:name w:val="页眉 字符"/>
    <w:basedOn w:val="a0"/>
    <w:link w:val="ac"/>
    <w:uiPriority w:val="99"/>
    <w:rsid w:val="00AF533D"/>
    <w:rPr>
      <w:rFonts w:ascii="Times New Roman" w:eastAsia="宋体" w:hAnsi="Times New Roman" w:cs="Times New Roman"/>
      <w:kern w:val="2"/>
      <w:sz w:val="21"/>
      <w:szCs w:val="20"/>
    </w:rPr>
  </w:style>
  <w:style w:type="paragraph" w:styleId="ae">
    <w:name w:val="Revision"/>
    <w:hidden/>
    <w:uiPriority w:val="99"/>
    <w:semiHidden/>
    <w:rsid w:val="00E940FD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f">
    <w:name w:val="List Paragraph"/>
    <w:basedOn w:val="a"/>
    <w:uiPriority w:val="34"/>
    <w:qFormat/>
    <w:rsid w:val="003E017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4CFE-5AAA-4EFD-9954-FDF6C7F7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Fangda-HUO, Wanhua</dc:creator>
  <cp:keywords/>
  <dc:description/>
  <cp:lastModifiedBy>Zhang Yuanzhou</cp:lastModifiedBy>
  <cp:revision>2</cp:revision>
  <cp:lastPrinted>2024-02-04T02:15:00Z</cp:lastPrinted>
  <dcterms:created xsi:type="dcterms:W3CDTF">2024-02-17T02:44:00Z</dcterms:created>
  <dcterms:modified xsi:type="dcterms:W3CDTF">2024-02-17T02:44:00Z</dcterms:modified>
</cp:coreProperties>
</file>